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504F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等线" w:cs="Arial"/>
          <w:b/>
          <w:bCs/>
          <w:highlight w:val="yellow"/>
          <w:lang w:val="en-US" w:eastAsia="zh-CN"/>
        </w:rPr>
      </w:pPr>
      <w:bookmarkStart w:id="0" w:name="_Hlk130672791"/>
      <w:r>
        <w:rPr>
          <w:rFonts w:ascii="Arial" w:hAnsi="Arial" w:eastAsia="等线" w:cs="Arial"/>
          <w:b/>
          <w:bCs/>
        </w:rPr>
        <w:t xml:space="preserve">3GPP TSG-RAN WG4 Meeting # </w:t>
      </w:r>
      <w:r>
        <w:rPr>
          <w:rFonts w:ascii="Arial" w:hAnsi="Arial" w:eastAsia="等线" w:cs="Arial"/>
          <w:b/>
        </w:rPr>
        <w:t>1</w:t>
      </w:r>
      <w:bookmarkStart w:id="1" w:name="_Hlk41145946"/>
      <w:r>
        <w:rPr>
          <w:rFonts w:hint="eastAsia" w:ascii="Arial" w:hAnsi="Arial" w:eastAsia="等线" w:cs="Arial"/>
          <w:b/>
          <w:lang w:val="en-US" w:eastAsia="zh-CN"/>
        </w:rPr>
        <w:t>16</w:t>
      </w:r>
      <w:r>
        <w:rPr>
          <w:rFonts w:ascii="Arial" w:hAnsi="Arial" w:eastAsia="等线" w:cs="Arial"/>
          <w:b/>
        </w:rPr>
        <w:tab/>
      </w:r>
      <w:r>
        <w:rPr>
          <w:rFonts w:ascii="Arial" w:hAnsi="Arial" w:eastAsia="等线" w:cs="Arial"/>
          <w:b/>
          <w:bCs/>
        </w:rPr>
        <w:tab/>
      </w:r>
      <w:r>
        <w:rPr>
          <w:rFonts w:ascii="Arial" w:hAnsi="Arial" w:eastAsia="等线" w:cs="Arial"/>
          <w:b/>
          <w:bCs/>
        </w:rPr>
        <w:t>R4</w:t>
      </w:r>
      <w:r>
        <w:rPr>
          <w:rFonts w:ascii="Arial" w:hAnsi="Arial" w:eastAsia="等线" w:cs="Arial"/>
          <w:b/>
          <w:bCs/>
          <w:highlight w:val="none"/>
        </w:rPr>
        <w:t>-2</w:t>
      </w:r>
      <w:bookmarkEnd w:id="1"/>
      <w:r>
        <w:rPr>
          <w:rFonts w:hint="eastAsia" w:ascii="Arial" w:hAnsi="Arial" w:eastAsia="等线" w:cs="Arial"/>
          <w:b/>
          <w:bCs/>
          <w:highlight w:val="none"/>
          <w:lang w:val="en-US" w:eastAsia="zh-CN"/>
        </w:rPr>
        <w:t>510039</w:t>
      </w:r>
      <w:bookmarkStart w:id="14" w:name="_GoBack"/>
      <w:bookmarkEnd w:id="14"/>
    </w:p>
    <w:p w14:paraId="21CE10BF">
      <w:pPr>
        <w:pStyle w:val="7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bookmarkEnd w:id="0"/>
    <w:p w14:paraId="6DCE2007">
      <w:pPr>
        <w:tabs>
          <w:tab w:val="left" w:pos="1985"/>
        </w:tabs>
        <w:rPr>
          <w:b/>
          <w:sz w:val="22"/>
        </w:rPr>
      </w:pPr>
    </w:p>
    <w:p w14:paraId="23AD3A47">
      <w:pPr>
        <w:tabs>
          <w:tab w:val="left" w:pos="1765"/>
          <w:tab w:val="center" w:pos="4557"/>
        </w:tabs>
        <w:rPr>
          <w:rFonts w:hint="eastAsia" w:eastAsiaTheme="minorEastAsia"/>
          <w:b/>
          <w:sz w:val="22"/>
          <w:highlight w:val="none"/>
          <w:lang w:eastAsia="zh-CN"/>
        </w:rPr>
      </w:pPr>
      <w:r>
        <w:rPr>
          <w:b/>
          <w:sz w:val="22"/>
          <w:highlight w:val="none"/>
        </w:rPr>
        <w:t>Agenda Item: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7</w:t>
      </w:r>
      <w:r>
        <w:rPr>
          <w:sz w:val="22"/>
          <w:highlight w:val="none"/>
        </w:rPr>
        <w:t>.</w:t>
      </w:r>
      <w:r>
        <w:rPr>
          <w:rFonts w:hint="eastAsia"/>
          <w:sz w:val="22"/>
          <w:highlight w:val="none"/>
          <w:lang w:val="en-US" w:eastAsia="zh-CN"/>
        </w:rPr>
        <w:t>28</w:t>
      </w:r>
      <w:r>
        <w:rPr>
          <w:sz w:val="22"/>
          <w:highlight w:val="none"/>
        </w:rPr>
        <w:t>.</w:t>
      </w:r>
      <w:r>
        <w:rPr>
          <w:rFonts w:hint="eastAsia"/>
          <w:sz w:val="22"/>
          <w:highlight w:val="none"/>
          <w:lang w:val="en-US" w:eastAsia="zh-CN"/>
        </w:rPr>
        <w:t>5</w:t>
      </w:r>
    </w:p>
    <w:p w14:paraId="428801E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2" w:name="_Hlk41145958"/>
      <w:r>
        <w:rPr>
          <w:sz w:val="22"/>
        </w:rPr>
        <w:t>CMCC</w:t>
      </w:r>
      <w:bookmarkEnd w:id="2"/>
    </w:p>
    <w:p w14:paraId="18BB0B49">
      <w:pPr>
        <w:rPr>
          <w:rFonts w:hint="default" w:eastAsiaTheme="minorEastAsia"/>
          <w:sz w:val="22"/>
          <w:lang w:val="en-US" w:eastAsia="zh-CN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41145953"/>
      <w:bookmarkStart w:id="4" w:name="OLE_LINK8"/>
      <w:bookmarkStart w:id="5" w:name="OLE_LINK7"/>
      <w:r>
        <w:rPr>
          <w:sz w:val="22"/>
        </w:rPr>
        <w:t xml:space="preserve"> Discussion on</w:t>
      </w:r>
      <w:bookmarkEnd w:id="3"/>
      <w:r>
        <w:rPr>
          <w:rFonts w:hint="eastAsia"/>
          <w:sz w:val="22"/>
        </w:rPr>
        <w:t xml:space="preserve"> test cases for </w:t>
      </w:r>
      <w:r>
        <w:rPr>
          <w:rFonts w:hint="eastAsia"/>
          <w:sz w:val="22"/>
          <w:lang w:val="en-US" w:eastAsia="zh-CN"/>
        </w:rPr>
        <w:t>IOT-</w:t>
      </w:r>
      <w:r>
        <w:rPr>
          <w:rFonts w:hint="eastAsia"/>
          <w:sz w:val="22"/>
        </w:rPr>
        <w:t>NTN</w:t>
      </w:r>
      <w:r>
        <w:rPr>
          <w:rFonts w:hint="eastAsia"/>
          <w:sz w:val="22"/>
          <w:lang w:val="en-US" w:eastAsia="zh-CN"/>
        </w:rPr>
        <w:t xml:space="preserve"> Phase 3</w:t>
      </w:r>
    </w:p>
    <w:bookmarkEnd w:id="4"/>
    <w:bookmarkEnd w:id="5"/>
    <w:p w14:paraId="7E41834D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1B3128F6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0B4C479">
      <w:pPr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jc w:val="both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 xml:space="preserve">In last meeting, the discussion of performance part was started, and the WF has been agreed at [1]. </w:t>
      </w:r>
      <w:r>
        <w:rPr>
          <w:rFonts w:hint="eastAsia"/>
          <w:sz w:val="20"/>
          <w:szCs w:val="20"/>
        </w:rPr>
        <w:t>In this contribution, we will provide our views on the test </w:t>
      </w:r>
      <w:r>
        <w:rPr>
          <w:rFonts w:hint="eastAsia"/>
          <w:sz w:val="20"/>
          <w:szCs w:val="20"/>
          <w:lang w:val="en-US" w:eastAsia="zh-CN"/>
        </w:rPr>
        <w:t>list and test configuration</w:t>
      </w:r>
      <w:r>
        <w:rPr>
          <w:rFonts w:hint="eastAsia"/>
          <w:sz w:val="20"/>
          <w:szCs w:val="20"/>
        </w:rPr>
        <w:t> for </w:t>
      </w:r>
      <w:r>
        <w:rPr>
          <w:rFonts w:hint="eastAsia"/>
          <w:sz w:val="20"/>
          <w:szCs w:val="20"/>
          <w:lang w:val="en-US" w:eastAsia="zh-CN"/>
        </w:rPr>
        <w:t>NB-IOT over NTN</w:t>
      </w:r>
      <w:r>
        <w:rPr>
          <w:rFonts w:hint="eastAsia"/>
          <w:sz w:val="20"/>
          <w:szCs w:val="20"/>
        </w:rPr>
        <w:t xml:space="preserve">. </w:t>
      </w:r>
    </w:p>
    <w:p w14:paraId="5063DA22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6" w:name="_Hlk70326378"/>
      <w:bookmarkStart w:id="7" w:name="OLE_LINK1"/>
      <w:bookmarkStart w:id="8" w:name="OLE_LINK2"/>
      <w:r>
        <w:rPr>
          <w:rFonts w:hint="eastAsia" w:ascii="Times New Roman" w:hAnsi="Times New Roman"/>
          <w:b w:val="0"/>
          <w:bCs w:val="0"/>
          <w:kern w:val="0"/>
          <w:sz w:val="36"/>
          <w:szCs w:val="36"/>
        </w:rPr>
        <w:t>Discussion</w:t>
      </w:r>
    </w:p>
    <w:p w14:paraId="6BC6A2BE">
      <w:pPr>
        <w:snapToGrid w:val="0"/>
        <w:spacing w:after="120"/>
        <w:rPr>
          <w:b/>
          <w:i/>
          <w:iCs/>
          <w:sz w:val="20"/>
          <w:szCs w:val="20"/>
          <w:u w:val="single"/>
          <w:lang w:eastAsia="zh-CN"/>
        </w:rPr>
      </w:pPr>
      <w:bookmarkStart w:id="9" w:name="_Hlk133265252"/>
      <w:r>
        <w:rPr>
          <w:b/>
          <w:i/>
          <w:iCs/>
          <w:sz w:val="20"/>
          <w:szCs w:val="20"/>
          <w:u w:val="single"/>
          <w:lang w:eastAsia="zh-CN"/>
        </w:rPr>
        <w:t>Issue 2-1: Test cases for CB-Msg3 - General</w:t>
      </w:r>
    </w:p>
    <w:p w14:paraId="3E5E4178">
      <w:pPr>
        <w:snapToGrid w:val="0"/>
        <w:spacing w:after="120"/>
        <w:rPr>
          <w:rFonts w:eastAsia="等线"/>
          <w:i/>
          <w:iCs/>
          <w:kern w:val="2"/>
          <w:sz w:val="20"/>
          <w:szCs w:val="20"/>
          <w:lang w:val="en-US" w:eastAsia="zh-CN"/>
        </w:rPr>
      </w:pPr>
      <w:bookmarkStart w:id="10" w:name="OLE_LINK47"/>
      <w:r>
        <w:rPr>
          <w:rFonts w:eastAsia="等线"/>
          <w:i/>
          <w:iCs/>
          <w:kern w:val="2"/>
          <w:sz w:val="20"/>
          <w:szCs w:val="20"/>
          <w:lang w:val="en-US" w:eastAsia="zh-CN"/>
        </w:rPr>
        <w:t>Agreement:</w:t>
      </w:r>
    </w:p>
    <w:p w14:paraId="4102688B">
      <w:pPr>
        <w:pStyle w:val="14"/>
        <w:numPr>
          <w:ilvl w:val="0"/>
          <w:numId w:val="3"/>
        </w:numPr>
        <w:snapToGrid w:val="0"/>
        <w:spacing w:after="120"/>
        <w:ind w:firstLineChars="0"/>
        <w:textAlignment w:val="auto"/>
        <w:rPr>
          <w:rFonts w:eastAsia="等线"/>
          <w:i/>
          <w:iCs/>
          <w:kern w:val="2"/>
          <w:sz w:val="20"/>
          <w:szCs w:val="20"/>
          <w:lang w:val="en-US" w:eastAsia="ko-KR"/>
        </w:rPr>
      </w:pPr>
      <w:r>
        <w:rPr>
          <w:rFonts w:eastAsia="等线"/>
          <w:i/>
          <w:iCs/>
          <w:kern w:val="2"/>
          <w:sz w:val="20"/>
          <w:szCs w:val="20"/>
          <w:lang w:val="en-US"/>
        </w:rPr>
        <w:t>Define test cases for random access for CB-msg3-EDT, and the correct behaviour and transmit timing can be verified in the same test case.</w:t>
      </w:r>
    </w:p>
    <w:p w14:paraId="14716F12">
      <w:pPr>
        <w:pStyle w:val="14"/>
        <w:numPr>
          <w:ilvl w:val="0"/>
          <w:numId w:val="3"/>
        </w:numPr>
        <w:snapToGrid w:val="0"/>
        <w:spacing w:after="120"/>
        <w:ind w:firstLineChars="0"/>
        <w:textAlignment w:val="auto"/>
        <w:rPr>
          <w:rFonts w:eastAsia="等线"/>
          <w:i/>
          <w:iCs/>
          <w:kern w:val="2"/>
          <w:sz w:val="20"/>
          <w:szCs w:val="20"/>
          <w:lang w:val="en-US"/>
        </w:rPr>
      </w:pPr>
      <w:r>
        <w:rPr>
          <w:rFonts w:eastAsia="等线"/>
          <w:i/>
          <w:iCs/>
          <w:kern w:val="2"/>
          <w:sz w:val="20"/>
          <w:szCs w:val="20"/>
          <w:lang w:val="en-US"/>
        </w:rPr>
        <w:t>Further discuss whether to down-select the test cases: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5122"/>
      </w:tblGrid>
      <w:tr w14:paraId="7302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EBF75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>Random Access</w:t>
            </w:r>
          </w:p>
          <w:p w14:paraId="56C3D50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eastAsia="Times New Roman"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>(A.13.3.2)</w:t>
            </w:r>
          </w:p>
          <w:p w14:paraId="31CF579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</w:pPr>
          </w:p>
        </w:tc>
        <w:tc>
          <w:tcPr>
            <w:tcW w:w="5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0EA1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>A.13.3.2.X1</w:t>
            </w: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ab/>
            </w: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 xml:space="preserve">Contention Based Random Access Test for UE category NB1 UEs in Satellite Access - Standalone mode in </w:t>
            </w:r>
            <w:r>
              <w:rPr>
                <w:rFonts w:eastAsia="Yu Mincho"/>
                <w:b/>
                <w:bCs/>
                <w:i/>
                <w:iCs/>
                <w:sz w:val="20"/>
                <w:szCs w:val="20"/>
                <w:lang w:val="en-US" w:eastAsia="zh-CN"/>
              </w:rPr>
              <w:t>normal coverage</w:t>
            </w: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Yu Mincho"/>
                <w:bCs/>
                <w:i/>
                <w:iCs/>
                <w:sz w:val="20"/>
                <w:szCs w:val="20"/>
                <w:u w:val="single"/>
                <w:lang w:val="en-US" w:eastAsia="zh-CN"/>
              </w:rPr>
              <w:t>for CB-msg3-EDT</w:t>
            </w:r>
          </w:p>
        </w:tc>
      </w:tr>
      <w:tr w14:paraId="463A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EA7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</w:pPr>
          </w:p>
        </w:tc>
        <w:tc>
          <w:tcPr>
            <w:tcW w:w="5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5C6D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>A.13.3.2.X2</w:t>
            </w: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ab/>
            </w: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 xml:space="preserve">Contention Based Random Access Test for UE category NB1 UEs in Satellite Access - Standalone mode in </w:t>
            </w:r>
            <w:r>
              <w:rPr>
                <w:rFonts w:eastAsia="Yu Mincho"/>
                <w:b/>
                <w:bCs/>
                <w:i/>
                <w:iCs/>
                <w:sz w:val="20"/>
                <w:szCs w:val="20"/>
                <w:lang w:val="en-US" w:eastAsia="zh-CN"/>
              </w:rPr>
              <w:t>Enhanced Coverage</w:t>
            </w:r>
            <w:r>
              <w:rPr>
                <w:rFonts w:eastAsia="Yu Mincho"/>
                <w:bCs/>
                <w:i/>
                <w:iCs/>
                <w:sz w:val="20"/>
                <w:szCs w:val="20"/>
                <w:u w:val="single"/>
                <w:lang w:val="en-US" w:eastAsia="zh-CN"/>
              </w:rPr>
              <w:t xml:space="preserve"> for CB-msg3-EDT</w:t>
            </w:r>
          </w:p>
        </w:tc>
      </w:tr>
      <w:tr w14:paraId="7322F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6C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</w:pPr>
          </w:p>
        </w:tc>
        <w:tc>
          <w:tcPr>
            <w:tcW w:w="5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8E41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>A.13.3.2.X3</w:t>
            </w: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ab/>
            </w: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 xml:space="preserve">Contention Based Random Access on </w:t>
            </w:r>
            <w:r>
              <w:rPr>
                <w:rFonts w:eastAsia="Yu Mincho"/>
                <w:b/>
                <w:bCs/>
                <w:i/>
                <w:iCs/>
                <w:sz w:val="20"/>
                <w:szCs w:val="20"/>
                <w:lang w:val="en-US" w:eastAsia="zh-CN"/>
              </w:rPr>
              <w:t>Non-anchor Carrier Test</w:t>
            </w:r>
            <w:r>
              <w:rPr>
                <w:rFonts w:eastAsia="Yu Mincho"/>
                <w:bCs/>
                <w:i/>
                <w:iCs/>
                <w:sz w:val="20"/>
                <w:szCs w:val="20"/>
                <w:lang w:val="en-US" w:eastAsia="zh-CN"/>
              </w:rPr>
              <w:t xml:space="preserve"> for UE category NB1 UEs Standalone mode in Enhanced Coverage</w:t>
            </w:r>
            <w:r>
              <w:rPr>
                <w:rFonts w:eastAsia="Yu Mincho"/>
                <w:bCs/>
                <w:i/>
                <w:iCs/>
                <w:sz w:val="20"/>
                <w:szCs w:val="20"/>
                <w:u w:val="single"/>
                <w:lang w:val="en-US" w:eastAsia="zh-CN"/>
              </w:rPr>
              <w:t xml:space="preserve"> for CB-msg3-EDT</w:t>
            </w:r>
          </w:p>
          <w:bookmarkEnd w:id="10"/>
        </w:tc>
      </w:tr>
    </w:tbl>
    <w:p w14:paraId="02D6D176"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We support all three tests above since both normal coverage and enhanced coverage, both anchor carrier and non-anchor CB-msg3 EDT procedure are supported by RAN2.</w:t>
      </w:r>
    </w:p>
    <w:p w14:paraId="554551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1: Define CB-msg3 EDT test cases for all there cases above.</w:t>
      </w:r>
    </w:p>
    <w:p w14:paraId="538DE9BF"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 w:cs="Times New Roman"/>
          <w:color w:val="auto"/>
          <w:sz w:val="20"/>
          <w:szCs w:val="20"/>
          <w:lang w:val="en-US" w:eastAsia="zh-CN"/>
        </w:rPr>
      </w:pPr>
    </w:p>
    <w:p w14:paraId="39C20559"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For the specific test setup, the CB-Msg3 EDT configuration as defined in CB-Msg3-ConfigSIB-NB-r19 shall be added, the configuration divided into cell level configuration and CE level configuration. For CE level configuration, the maximum 2 CE level shall be set up.</w:t>
      </w:r>
    </w:p>
    <w:p w14:paraId="58BB7E4F"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Cell level configuration including:</w:t>
      </w:r>
    </w:p>
    <w:p w14:paraId="10548E4D"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cb-Msg3-MinRSRP-Threshold-NB-r19</w:t>
      </w:r>
    </w:p>
    <w:p w14:paraId="0A3295F2"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default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cb-Msg3-RSRP-CE-Level-NB-r19: 2 RSRP shall be configured corresponding to 2 CE level</w:t>
      </w:r>
    </w:p>
    <w:p w14:paraId="3074D0DD"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CE level configuration including:</w:t>
      </w:r>
    </w:p>
    <w:p w14:paraId="000520A8"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t>c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b-Msg3-TBS-NB-r19</w:t>
      </w:r>
    </w:p>
    <w:p w14:paraId="1D106D8F"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cb-Msg3-NumOfReplicas-NB</w:t>
      </w:r>
    </w:p>
    <w:p w14:paraId="46DAAC69"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cb-Msg3-TimeResource-NB-r19</w:t>
      </w:r>
    </w:p>
    <w:p w14:paraId="5E9C8105"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cb-Msg3-PhysicalConfig</w:t>
      </w:r>
    </w:p>
    <w:p w14:paraId="3CEC0925"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cb-Msg3-TxWindow-NB-r19</w:t>
      </w:r>
    </w:p>
    <w:p w14:paraId="51B743A1"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cb-Msg3-ResponseWindow-NB</w:t>
      </w:r>
    </w:p>
    <w:p w14:paraId="3B7E32C9"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cb-Msg3-MaxAttemptNum-NB</w:t>
      </w:r>
    </w:p>
    <w:p w14:paraId="58759F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2: Set up 2 CE level in the test, add CB-Msg3 EDT configuration as defined in CB-Msg3-ConfigSIB-NB-r19</w:t>
      </w:r>
    </w:p>
    <w:p w14:paraId="5A157B5B"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During the test, in order to trigger the CB-Msg3, conditions for initiating </w:t>
      </w:r>
      <w:bookmarkStart w:id="11" w:name="OLE_LINK12"/>
      <w:bookmarkStart w:id="12" w:name="OLE_LINK44"/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CB-Msg3 EDT</w:t>
      </w:r>
      <w:bookmarkEnd w:id="11"/>
      <w:bookmarkEnd w:id="12"/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 in NTN defined in TS 36.331 5.3.3.1x shall be met first.</w:t>
      </w:r>
    </w:p>
    <w:p w14:paraId="0983F3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3: In order to trigger CB-Msg3, Conditions for initiating CB-Msg3 EDT in NTN shall be met at first as defined in TS 36.331 5.3.3.1x.</w:t>
      </w:r>
    </w:p>
    <w:p w14:paraId="6629E440"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Correct UE behavior of replica transmission and re-attempt a CB-Msg3 transmission shall be tested. For this purpose, the System Simulator shall transmit a CB-Msg4 over CB-RNTI after 2 CB-Msg3 transmission attempts (the replicas may be transmitted in each attempt) have been received by the System Simulator. In response to the first CB-Msg3 transmission attempts, the System Simulator shall transmit a CB-Msg4 not corresponding to the transmitted CB-RNTI.</w:t>
      </w:r>
    </w:p>
    <w:p w14:paraId="073B66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4: In order to test correct UE behavior of replica transmission and re-attempt a CB-Msg3 transmission, the System Simulator shall transmit a CB-Msg4 over CB-RNTI after 2 CB-Msg3 transmission attempts</w:t>
      </w:r>
    </w:p>
    <w:p w14:paraId="3ED606D9"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Regarding how to test the correct behavior of CB-Msg3-EDT failure, it can be discussed after finishing the core requirement.</w:t>
      </w:r>
    </w:p>
    <w:bookmarkEnd w:id="6"/>
    <w:bookmarkEnd w:id="9"/>
    <w:p w14:paraId="4226773A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2552EADC">
      <w:pPr>
        <w:spacing w:before="60"/>
        <w:rPr>
          <w:sz w:val="20"/>
          <w:szCs w:val="20"/>
        </w:rPr>
      </w:pPr>
      <w:r>
        <w:rPr>
          <w:sz w:val="20"/>
          <w:szCs w:val="20"/>
        </w:rPr>
        <w:t>Based on the discussion above, the following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</w:rPr>
        <w:t xml:space="preserve">proposals are concluded. </w:t>
      </w:r>
      <w:bookmarkEnd w:id="7"/>
      <w:bookmarkEnd w:id="8"/>
    </w:p>
    <w:p w14:paraId="328CE4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1: Define CB-msg3 EDT test cases for all there cases above.</w:t>
      </w:r>
    </w:p>
    <w:p w14:paraId="1B6F42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2: Set up 2 CE level in the test, add CB-Msg3 EDT configuration as defined in CB-Msg3-ConfigSIB-NB-r19</w:t>
      </w:r>
    </w:p>
    <w:p w14:paraId="358BEF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3: In order to trigger CB-Msg3, Conditions for initiating CB-Msg3 EDT in NTN shall be met at first as defined in TS 36.331 5.3.3.1x.</w:t>
      </w:r>
    </w:p>
    <w:p w14:paraId="7F9BB5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4: In order to test correct UE behavior of replica transmission and re-attempt a CB-Msg3 transmission, the System Simulator shall transmit a CB-Msg4 over CB-RNTI after 2 CB-Msg3 transmission attempts</w:t>
      </w:r>
    </w:p>
    <w:p w14:paraId="122E4D2A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Reference</w:t>
      </w:r>
    </w:p>
    <w:p w14:paraId="2EE66BB6">
      <w:pPr>
        <w:spacing w:before="60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[1] </w:t>
      </w:r>
      <w:bookmarkStart w:id="13" w:name="OLE_LINK61"/>
      <w:r>
        <w:rPr>
          <w:rFonts w:hint="eastAsia"/>
          <w:sz w:val="20"/>
          <w:szCs w:val="20"/>
          <w:lang w:val="en-US" w:eastAsia="zh-CN"/>
        </w:rPr>
        <w:t>R4-</w:t>
      </w:r>
      <w:r>
        <w:rPr>
          <w:sz w:val="20"/>
          <w:szCs w:val="20"/>
          <w:lang w:val="pt-BR" w:eastAsia="en-US"/>
        </w:rPr>
        <w:t>2508289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eastAsia="zh-CN"/>
        </w:rPr>
        <w:t>WF on RRM requirements for IoT_NTN_Ph3</w:t>
      </w:r>
      <w:bookmarkEnd w:id="13"/>
      <w:r>
        <w:rPr>
          <w:rFonts w:hint="eastAsia"/>
          <w:sz w:val="20"/>
          <w:szCs w:val="20"/>
          <w:lang w:val="en-US" w:eastAsia="zh-CN"/>
        </w:rPr>
        <w:t>, MediaTek</w:t>
      </w:r>
    </w:p>
    <w:sectPr>
      <w:pgSz w:w="11906" w:h="16838"/>
      <w:pgMar w:top="1440" w:right="986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9CEDD1"/>
    <w:multiLevelType w:val="singleLevel"/>
    <w:tmpl w:val="B69CEDD1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微软雅黑" w:hAnsi="微软雅黑" w:eastAsia="微软雅黑" w:cs="微软雅黑"/>
      </w:rPr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46F409B"/>
    <w:multiLevelType w:val="multilevel"/>
    <w:tmpl w:val="346F409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657"/>
    <w:rsid w:val="00266657"/>
    <w:rsid w:val="009D4A76"/>
    <w:rsid w:val="00D11DCE"/>
    <w:rsid w:val="00E56A55"/>
    <w:rsid w:val="01D64E9E"/>
    <w:rsid w:val="03D86526"/>
    <w:rsid w:val="04452E3A"/>
    <w:rsid w:val="05524AD2"/>
    <w:rsid w:val="06F75AD2"/>
    <w:rsid w:val="07AC566B"/>
    <w:rsid w:val="07DD0BC7"/>
    <w:rsid w:val="09517472"/>
    <w:rsid w:val="09FB09F5"/>
    <w:rsid w:val="0B497F9D"/>
    <w:rsid w:val="0F7A5B7B"/>
    <w:rsid w:val="0FDD3944"/>
    <w:rsid w:val="10464BC0"/>
    <w:rsid w:val="1173721C"/>
    <w:rsid w:val="12046C67"/>
    <w:rsid w:val="17126F70"/>
    <w:rsid w:val="17747819"/>
    <w:rsid w:val="18BE4A43"/>
    <w:rsid w:val="18D9421B"/>
    <w:rsid w:val="19F05275"/>
    <w:rsid w:val="1B1501FB"/>
    <w:rsid w:val="1CE847F5"/>
    <w:rsid w:val="1D8706B3"/>
    <w:rsid w:val="1FCC1334"/>
    <w:rsid w:val="208F304C"/>
    <w:rsid w:val="218E2946"/>
    <w:rsid w:val="23226087"/>
    <w:rsid w:val="24452905"/>
    <w:rsid w:val="25466E4D"/>
    <w:rsid w:val="25FB1865"/>
    <w:rsid w:val="296A26AA"/>
    <w:rsid w:val="2A7F138A"/>
    <w:rsid w:val="2CE10DFC"/>
    <w:rsid w:val="2E18387E"/>
    <w:rsid w:val="31BC3768"/>
    <w:rsid w:val="335825D6"/>
    <w:rsid w:val="3874599A"/>
    <w:rsid w:val="3ACE28A7"/>
    <w:rsid w:val="3AD95064"/>
    <w:rsid w:val="3C986043"/>
    <w:rsid w:val="3D9F061F"/>
    <w:rsid w:val="3E373ADA"/>
    <w:rsid w:val="3EBD45F1"/>
    <w:rsid w:val="42A52A53"/>
    <w:rsid w:val="44772B8D"/>
    <w:rsid w:val="44794C71"/>
    <w:rsid w:val="46066F60"/>
    <w:rsid w:val="46850C1B"/>
    <w:rsid w:val="46B10109"/>
    <w:rsid w:val="46CE7893"/>
    <w:rsid w:val="47506F6D"/>
    <w:rsid w:val="47B27DFC"/>
    <w:rsid w:val="47E53D33"/>
    <w:rsid w:val="4AFB201B"/>
    <w:rsid w:val="4C4B787D"/>
    <w:rsid w:val="4CC22074"/>
    <w:rsid w:val="4EEC4C43"/>
    <w:rsid w:val="505C3AE8"/>
    <w:rsid w:val="505C7A00"/>
    <w:rsid w:val="51D83011"/>
    <w:rsid w:val="52A50065"/>
    <w:rsid w:val="54260228"/>
    <w:rsid w:val="59EF76A3"/>
    <w:rsid w:val="5BCC3BCD"/>
    <w:rsid w:val="5BFF75C4"/>
    <w:rsid w:val="5EDF6D5C"/>
    <w:rsid w:val="5FC561E5"/>
    <w:rsid w:val="63A94823"/>
    <w:rsid w:val="63C44F34"/>
    <w:rsid w:val="63C76AC3"/>
    <w:rsid w:val="65FB1716"/>
    <w:rsid w:val="663A164A"/>
    <w:rsid w:val="67525987"/>
    <w:rsid w:val="6B934BAF"/>
    <w:rsid w:val="6D7F3116"/>
    <w:rsid w:val="6EA44813"/>
    <w:rsid w:val="6F6A106F"/>
    <w:rsid w:val="6FC3127F"/>
    <w:rsid w:val="6FE52AD0"/>
    <w:rsid w:val="71B927E7"/>
    <w:rsid w:val="71EF4499"/>
    <w:rsid w:val="71F52B18"/>
    <w:rsid w:val="72BE025B"/>
    <w:rsid w:val="76A742C8"/>
    <w:rsid w:val="770D5AF8"/>
    <w:rsid w:val="778957B1"/>
    <w:rsid w:val="78794B17"/>
    <w:rsid w:val="78B02891"/>
    <w:rsid w:val="79CE24BD"/>
    <w:rsid w:val="7B1C10AB"/>
    <w:rsid w:val="7BB46454"/>
    <w:rsid w:val="7C5D6F97"/>
    <w:rsid w:val="7CA61337"/>
    <w:rsid w:val="7CD32EB0"/>
    <w:rsid w:val="7D813F06"/>
    <w:rsid w:val="7E85070A"/>
    <w:rsid w:val="7F01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0"/>
    <w:qFormat/>
    <w:uiPriority w:val="0"/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</w:pPr>
    <w:rPr>
      <w:rFonts w:eastAsia="MS Mincho"/>
      <w:sz w:val="20"/>
      <w:szCs w:val="20"/>
      <w:lang w:eastAsia="en-US"/>
    </w:rPr>
  </w:style>
  <w:style w:type="paragraph" w:styleId="8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9">
    <w:name w:val="annotation subject"/>
    <w:basedOn w:val="6"/>
    <w:next w:val="6"/>
    <w:link w:val="21"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basedOn w:val="12"/>
    <w:qFormat/>
    <w:uiPriority w:val="0"/>
    <w:rPr>
      <w:sz w:val="21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eastAsia="Times New Roman" w:cs="宋体"/>
    </w:rPr>
  </w:style>
  <w:style w:type="paragraph" w:customStyle="1" w:styleId="15">
    <w:name w:val="B1"/>
    <w:basedOn w:val="8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16">
    <w:name w:val="TAH"/>
    <w:basedOn w:val="17"/>
    <w:qFormat/>
    <w:uiPriority w:val="0"/>
    <w:rPr>
      <w:b/>
    </w:rPr>
  </w:style>
  <w:style w:type="paragraph" w:customStyle="1" w:styleId="17">
    <w:name w:val="TAC"/>
    <w:basedOn w:val="18"/>
    <w:qFormat/>
    <w:uiPriority w:val="0"/>
    <w:pPr>
      <w:jc w:val="center"/>
    </w:pPr>
  </w:style>
  <w:style w:type="paragraph" w:customStyle="1" w:styleId="18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19">
    <w:name w:val="TAN"/>
    <w:basedOn w:val="18"/>
    <w:qFormat/>
    <w:uiPriority w:val="0"/>
    <w:pPr>
      <w:ind w:left="851" w:hanging="851"/>
    </w:pPr>
  </w:style>
  <w:style w:type="character" w:customStyle="1" w:styleId="20">
    <w:name w:val="批注文字 字符"/>
    <w:basedOn w:val="12"/>
    <w:link w:val="6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1">
    <w:name w:val="批注主题 字符"/>
    <w:basedOn w:val="20"/>
    <w:link w:val="9"/>
    <w:qFormat/>
    <w:uiPriority w:val="0"/>
    <w:rPr>
      <w:rFonts w:ascii="Times New Roman" w:hAnsi="Times New Roman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1855</Words>
  <Characters>10574</Characters>
  <Lines>88</Lines>
  <Paragraphs>24</Paragraphs>
  <TotalTime>2</TotalTime>
  <ScaleCrop>false</ScaleCrop>
  <LinksUpToDate>false</LinksUpToDate>
  <CharactersWithSpaces>12405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2023-09-12T01:44:00Z</dcterms:created>
  <dc:creator>cmcc</dc:creator>
  <cp:lastModifiedBy>CMCC-shiyuan</cp:lastModifiedBy>
  <dcterms:modified xsi:type="dcterms:W3CDTF">2025-08-15T06:27:53Z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AD64AC204EA64369A1FB002ABAEC9A42</vt:lpwstr>
  </property>
</Properties>
</file>